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5"/>
        <w:gridCol w:w="738"/>
        <w:gridCol w:w="1833"/>
        <w:gridCol w:w="1349"/>
        <w:gridCol w:w="3616"/>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4"/>
        <w:gridCol w:w="827"/>
        <w:gridCol w:w="1186"/>
        <w:gridCol w:w="1297"/>
        <w:gridCol w:w="3966"/>
        <w:gridCol w:w="5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document serves as the Product User Manual (PUM) for the Copernicus Land Monitoring Service (CLMS) Riparian Zones Land Cover/Land Use (LC/LU) product, focusing on the 2012-2018 period. It provides users with a comprehensive understanding of the product’s characteristics, methodology, potential applications, quality assessment, and technical specifications. This manual is essential for anyone intending to utilise the Riparian Zones LC/LU data for environmental monitoring, policy support, or scientific research, covering topics from data acquisition and processing to nomenclature and accuracy.</dc:description>
  <cp:keywords>Riparian Zones LC/LU, Land cover change mapping, Very High-Resolution imagery, MAES systematics, EU-Hydro database, Strahler stream order, Parent Scene Identification Layer, ETRS89 Lambert Azimuthal Equal-Area projection, Minimum Mapping Unit exceptions, Thematic accuracy assessment</cp:keywords>
  <dcterms:created xsi:type="dcterms:W3CDTF">2025-10-10T11:51:55Z</dcterms:created>
  <dcterms:modified xsi:type="dcterms:W3CDTF">2025-10-10T11:51:55Z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